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728" w:rsidRDefault="00664193" w:rsidP="008A3728">
      <w:pPr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366231">
        <w:rPr>
          <w:rFonts w:asciiTheme="minorHAnsi" w:hAnsiTheme="minorHAnsi" w:cstheme="minorHAnsi"/>
          <w:b/>
          <w:sz w:val="28"/>
          <w:szCs w:val="28"/>
          <w:u w:val="single"/>
        </w:rPr>
        <w:t xml:space="preserve">LOS </w:t>
      </w:r>
      <w:r w:rsidR="008A3728" w:rsidRPr="00366231">
        <w:rPr>
          <w:rFonts w:asciiTheme="minorHAnsi" w:hAnsiTheme="minorHAnsi" w:cstheme="minorHAnsi"/>
          <w:b/>
          <w:sz w:val="28"/>
          <w:szCs w:val="28"/>
          <w:u w:val="single"/>
        </w:rPr>
        <w:t>CONTRATOS BANCARIOS</w:t>
      </w:r>
      <w:r w:rsidRPr="00366231">
        <w:rPr>
          <w:rFonts w:asciiTheme="minorHAnsi" w:hAnsiTheme="minorHAnsi" w:cstheme="minorHAnsi"/>
          <w:b/>
          <w:sz w:val="28"/>
          <w:szCs w:val="28"/>
          <w:u w:val="single"/>
        </w:rPr>
        <w:t xml:space="preserve"> EN EL PROYE</w:t>
      </w:r>
      <w:r w:rsidR="007548B1">
        <w:rPr>
          <w:rFonts w:asciiTheme="minorHAnsi" w:hAnsiTheme="minorHAnsi" w:cstheme="minorHAnsi"/>
          <w:b/>
          <w:sz w:val="28"/>
          <w:szCs w:val="28"/>
          <w:u w:val="single"/>
        </w:rPr>
        <w:t>C</w:t>
      </w:r>
      <w:r w:rsidRPr="00366231">
        <w:rPr>
          <w:rFonts w:asciiTheme="minorHAnsi" w:hAnsiTheme="minorHAnsi" w:cstheme="minorHAnsi"/>
          <w:b/>
          <w:sz w:val="28"/>
          <w:szCs w:val="28"/>
          <w:u w:val="single"/>
        </w:rPr>
        <w:t>TADO CODIGO UNIFICADO</w:t>
      </w:r>
      <w:r w:rsidR="00366231" w:rsidRPr="00366231">
        <w:rPr>
          <w:rFonts w:asciiTheme="minorHAnsi" w:hAnsiTheme="minorHAnsi" w:cstheme="minorHAnsi"/>
          <w:b/>
          <w:sz w:val="28"/>
          <w:szCs w:val="28"/>
          <w:u w:val="single"/>
        </w:rPr>
        <w:t>: EXCLUSION DE REVISIÓN DE SALDOS DEUDORES DE LAS CUENTAS CORRIENTES BANCARIAS.</w:t>
      </w:r>
    </w:p>
    <w:p w:rsidR="00366231" w:rsidRPr="00366231" w:rsidRDefault="00366231" w:rsidP="008A3728">
      <w:pPr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:rsidR="00664193" w:rsidRPr="00366231" w:rsidRDefault="00664193" w:rsidP="008A372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66231">
        <w:rPr>
          <w:rFonts w:asciiTheme="minorHAnsi" w:hAnsiTheme="minorHAnsi" w:cstheme="minorHAnsi"/>
          <w:b/>
          <w:sz w:val="22"/>
          <w:szCs w:val="22"/>
        </w:rPr>
        <w:t>AUTORA: PATRICIA D’ALBANO TORRES</w:t>
      </w:r>
    </w:p>
    <w:p w:rsidR="00664193" w:rsidRPr="00366231" w:rsidRDefault="00664193" w:rsidP="008A372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66231">
        <w:rPr>
          <w:rFonts w:asciiTheme="minorHAnsi" w:hAnsiTheme="minorHAnsi" w:cstheme="minorHAnsi"/>
          <w:b/>
          <w:sz w:val="22"/>
          <w:szCs w:val="22"/>
        </w:rPr>
        <w:t xml:space="preserve"> INSTITUTO DERECHO COMERCIAL COLEGIO ABOGADOS SAN MARTIN</w:t>
      </w:r>
    </w:p>
    <w:p w:rsidR="00664193" w:rsidRDefault="00664193" w:rsidP="008A3728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664193" w:rsidRDefault="00664193" w:rsidP="00664193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PONENCIA:</w:t>
      </w:r>
    </w:p>
    <w:p w:rsidR="00664193" w:rsidRDefault="00906B77" w:rsidP="008D6606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906B77">
        <w:rPr>
          <w:rFonts w:asciiTheme="minorHAnsi" w:hAnsiTheme="minorHAnsi" w:cstheme="minorHAnsi"/>
          <w:b/>
          <w:sz w:val="28"/>
          <w:szCs w:val="28"/>
        </w:rPr>
        <w:t xml:space="preserve">El sistema diseñado se cuida de entrar en la revisión del saldo deudor, no sin obstaculizar o excluir su posibilidad. Ello así, pues al establecer la presunción de aceptación del resumen bancario y al ordenar la instrumentación del título ejecutivo en escritura pública, su revisión se vuelve ilusoria, o al menos bastante excepcional mediante el planteo de la redargución de falsedad de la escritura pública, dejando todo ello librado a la interpretación jurisdiccional, según lo establecido por el art. 1 de dicho Proyecto. </w:t>
      </w:r>
    </w:p>
    <w:p w:rsidR="00664193" w:rsidRDefault="00664193" w:rsidP="004914EB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8A3728" w:rsidRDefault="00664193" w:rsidP="004914EB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64193">
        <w:rPr>
          <w:rFonts w:asciiTheme="minorHAnsi" w:hAnsiTheme="minorHAnsi" w:cstheme="minorHAnsi"/>
          <w:b/>
          <w:sz w:val="28"/>
          <w:szCs w:val="28"/>
        </w:rPr>
        <w:t>DESARROLLLO</w:t>
      </w:r>
      <w:r>
        <w:rPr>
          <w:rFonts w:asciiTheme="minorHAnsi" w:hAnsiTheme="minorHAnsi" w:cstheme="minorHAnsi"/>
          <w:b/>
          <w:sz w:val="28"/>
          <w:szCs w:val="28"/>
        </w:rPr>
        <w:t>:</w:t>
      </w:r>
    </w:p>
    <w:p w:rsidR="00844142" w:rsidRPr="00626A15" w:rsidRDefault="00844142" w:rsidP="004914EB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Para poder comprender el sentido, voluntad y letra del nuevo Código, es importante partir su estudio desde los fines que se tuvo para realizar la unificación y modificación de todo el marco jurídico civil y comercial.</w:t>
      </w:r>
    </w:p>
    <w:p w:rsidR="00C91380" w:rsidRPr="00626A15" w:rsidRDefault="00C91380" w:rsidP="004914EB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C91380" w:rsidRPr="00626A15" w:rsidRDefault="00C91380" w:rsidP="004914EB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De esta manera, podemos resumirlos en lo siguiente:</w:t>
      </w:r>
    </w:p>
    <w:p w:rsidR="00844142" w:rsidRPr="00626A15" w:rsidRDefault="00844142" w:rsidP="004914EB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AD6B04" w:rsidRPr="00626A15" w:rsidRDefault="00AD6B04" w:rsidP="004914EB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•</w:t>
      </w:r>
      <w:r w:rsidRPr="00626A15">
        <w:rPr>
          <w:rFonts w:asciiTheme="minorHAnsi" w:hAnsiTheme="minorHAnsi" w:cstheme="minorHAnsi"/>
          <w:sz w:val="28"/>
          <w:szCs w:val="28"/>
        </w:rPr>
        <w:tab/>
      </w:r>
      <w:r w:rsidRPr="00626A15">
        <w:rPr>
          <w:rFonts w:asciiTheme="minorHAnsi" w:hAnsiTheme="minorHAnsi" w:cstheme="minorHAnsi"/>
          <w:b/>
          <w:sz w:val="28"/>
          <w:szCs w:val="28"/>
        </w:rPr>
        <w:t>Código con identidad cultural latinoamericana</w:t>
      </w:r>
      <w:r w:rsidRPr="00626A15">
        <w:rPr>
          <w:rFonts w:asciiTheme="minorHAnsi" w:hAnsiTheme="minorHAnsi" w:cstheme="minorHAnsi"/>
          <w:sz w:val="28"/>
          <w:szCs w:val="28"/>
        </w:rPr>
        <w:t>: mantiene aspectos esenciales de la tradición romana e  hispánica, y francesa, incorporando nociones propias de la cultura latinoamericana y criterios que se consideran comunes a la región.</w:t>
      </w:r>
    </w:p>
    <w:p w:rsidR="00AD6B04" w:rsidRPr="00626A15" w:rsidRDefault="00AD6B04" w:rsidP="004914EB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AD6B04" w:rsidRPr="00626A15" w:rsidRDefault="00AD6B04" w:rsidP="004914EB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•</w:t>
      </w:r>
      <w:r w:rsidRPr="00626A15">
        <w:rPr>
          <w:rFonts w:asciiTheme="minorHAnsi" w:hAnsiTheme="minorHAnsi" w:cstheme="minorHAnsi"/>
          <w:sz w:val="28"/>
          <w:szCs w:val="28"/>
        </w:rPr>
        <w:tab/>
      </w:r>
      <w:r w:rsidRPr="00626A15">
        <w:rPr>
          <w:rFonts w:asciiTheme="minorHAnsi" w:hAnsiTheme="minorHAnsi" w:cstheme="minorHAnsi"/>
          <w:b/>
          <w:sz w:val="28"/>
          <w:szCs w:val="28"/>
        </w:rPr>
        <w:t>Constitucionalización del derecho privado</w:t>
      </w:r>
      <w:r w:rsidRPr="00626A15">
        <w:rPr>
          <w:rFonts w:asciiTheme="minorHAnsi" w:hAnsiTheme="minorHAnsi" w:cstheme="minorHAnsi"/>
          <w:sz w:val="28"/>
          <w:szCs w:val="28"/>
        </w:rPr>
        <w:t>. Establece una comunidad de principios entre la Constitución, el derecho público y el derecho privado receptando los tratados y derechos reconocidos en todo el bloque de constitucionalidad.</w:t>
      </w:r>
    </w:p>
    <w:p w:rsidR="00AD6B04" w:rsidRPr="00626A15" w:rsidRDefault="00AD6B04" w:rsidP="004914EB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AD6B04" w:rsidRPr="00626A15" w:rsidRDefault="00AD6B04" w:rsidP="004914EB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•</w:t>
      </w:r>
      <w:r w:rsidRPr="00626A15">
        <w:rPr>
          <w:rFonts w:asciiTheme="minorHAnsi" w:hAnsiTheme="minorHAnsi" w:cstheme="minorHAnsi"/>
          <w:sz w:val="28"/>
          <w:szCs w:val="28"/>
        </w:rPr>
        <w:tab/>
      </w:r>
      <w:r w:rsidRPr="00626A15">
        <w:rPr>
          <w:rFonts w:asciiTheme="minorHAnsi" w:hAnsiTheme="minorHAnsi" w:cstheme="minorHAnsi"/>
          <w:b/>
          <w:sz w:val="28"/>
          <w:szCs w:val="28"/>
        </w:rPr>
        <w:t>Código de la igualdad</w:t>
      </w:r>
      <w:r w:rsidRPr="00626A15">
        <w:rPr>
          <w:rFonts w:asciiTheme="minorHAnsi" w:hAnsiTheme="minorHAnsi" w:cstheme="minorHAnsi"/>
          <w:sz w:val="28"/>
          <w:szCs w:val="28"/>
        </w:rPr>
        <w:t xml:space="preserve">. </w:t>
      </w:r>
      <w:r w:rsidR="00775DE8" w:rsidRPr="00626A15">
        <w:rPr>
          <w:rFonts w:asciiTheme="minorHAnsi" w:hAnsiTheme="minorHAnsi" w:cstheme="minorHAnsi"/>
          <w:sz w:val="28"/>
          <w:szCs w:val="28"/>
        </w:rPr>
        <w:t xml:space="preserve">Desarrolla la </w:t>
      </w:r>
      <w:r w:rsidRPr="00626A15">
        <w:rPr>
          <w:rFonts w:asciiTheme="minorHAnsi" w:hAnsiTheme="minorHAnsi" w:cstheme="minorHAnsi"/>
          <w:sz w:val="28"/>
          <w:szCs w:val="28"/>
        </w:rPr>
        <w:t>ética de los vulnerables.</w:t>
      </w:r>
    </w:p>
    <w:p w:rsidR="00AD6B04" w:rsidRPr="00626A15" w:rsidRDefault="00AD6B04" w:rsidP="004914EB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775DE8" w:rsidRPr="00626A15" w:rsidRDefault="00AD6B04" w:rsidP="004914EB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•</w:t>
      </w:r>
      <w:r w:rsidRPr="00626A15">
        <w:rPr>
          <w:rFonts w:asciiTheme="minorHAnsi" w:hAnsiTheme="minorHAnsi" w:cstheme="minorHAnsi"/>
          <w:sz w:val="28"/>
          <w:szCs w:val="28"/>
        </w:rPr>
        <w:tab/>
      </w:r>
      <w:r w:rsidRPr="00626A15">
        <w:rPr>
          <w:rFonts w:asciiTheme="minorHAnsi" w:hAnsiTheme="minorHAnsi" w:cstheme="minorHAnsi"/>
          <w:b/>
          <w:sz w:val="28"/>
          <w:szCs w:val="28"/>
        </w:rPr>
        <w:t>Código basado en un paradigma no discriminatorio</w:t>
      </w:r>
      <w:r w:rsidRPr="00626A15">
        <w:rPr>
          <w:rFonts w:asciiTheme="minorHAnsi" w:hAnsiTheme="minorHAnsi" w:cstheme="minorHAnsi"/>
          <w:sz w:val="28"/>
          <w:szCs w:val="28"/>
        </w:rPr>
        <w:t>.</w:t>
      </w:r>
      <w:r w:rsidR="00775DE8" w:rsidRPr="00626A15">
        <w:rPr>
          <w:rFonts w:asciiTheme="minorHAnsi" w:hAnsiTheme="minorHAnsi" w:cstheme="minorHAnsi"/>
          <w:sz w:val="28"/>
          <w:szCs w:val="28"/>
        </w:rPr>
        <w:t xml:space="preserve"> Incluye un sistema i</w:t>
      </w:r>
      <w:r w:rsidRPr="00626A15">
        <w:rPr>
          <w:rFonts w:asciiTheme="minorHAnsi" w:hAnsiTheme="minorHAnsi" w:cstheme="minorHAnsi"/>
          <w:sz w:val="28"/>
          <w:szCs w:val="28"/>
        </w:rPr>
        <w:t xml:space="preserve">gualitario, sin discriminaciones basadas en el sexo, la religión, el origen o su riqueza. </w:t>
      </w:r>
    </w:p>
    <w:p w:rsidR="00775DE8" w:rsidRPr="00626A15" w:rsidRDefault="00775DE8" w:rsidP="004914EB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775DE8" w:rsidRPr="00626A15" w:rsidRDefault="00AD6B04" w:rsidP="004914EB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lastRenderedPageBreak/>
        <w:t>•</w:t>
      </w:r>
      <w:r w:rsidRPr="00626A15">
        <w:rPr>
          <w:rFonts w:asciiTheme="minorHAnsi" w:hAnsiTheme="minorHAnsi" w:cstheme="minorHAnsi"/>
          <w:sz w:val="28"/>
          <w:szCs w:val="28"/>
        </w:rPr>
        <w:tab/>
      </w:r>
      <w:r w:rsidRPr="00626A15">
        <w:rPr>
          <w:rFonts w:asciiTheme="minorHAnsi" w:hAnsiTheme="minorHAnsi" w:cstheme="minorHAnsi"/>
          <w:b/>
          <w:sz w:val="28"/>
          <w:szCs w:val="28"/>
        </w:rPr>
        <w:t>Código de los derechos individuales y colectivos.</w:t>
      </w:r>
      <w:r w:rsidRPr="00626A15">
        <w:rPr>
          <w:rFonts w:asciiTheme="minorHAnsi" w:hAnsiTheme="minorHAnsi" w:cstheme="minorHAnsi"/>
          <w:sz w:val="28"/>
          <w:szCs w:val="28"/>
        </w:rPr>
        <w:t xml:space="preserve"> </w:t>
      </w:r>
      <w:r w:rsidR="00775DE8" w:rsidRPr="00626A15">
        <w:rPr>
          <w:rFonts w:asciiTheme="minorHAnsi" w:hAnsiTheme="minorHAnsi" w:cstheme="minorHAnsi"/>
          <w:sz w:val="28"/>
          <w:szCs w:val="28"/>
        </w:rPr>
        <w:t>Da una importancia relevante a los derechos de incidencia colectiva, en consonancia con la Constitución Argentina y de modo coordinado con la brasileña.</w:t>
      </w:r>
    </w:p>
    <w:p w:rsidR="00775DE8" w:rsidRPr="00626A15" w:rsidRDefault="00775DE8" w:rsidP="004914EB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EC6F71" w:rsidRPr="00626A15" w:rsidRDefault="00AD6B04" w:rsidP="004914EB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•</w:t>
      </w:r>
      <w:r w:rsidRPr="00626A15">
        <w:rPr>
          <w:rFonts w:asciiTheme="minorHAnsi" w:hAnsiTheme="minorHAnsi" w:cstheme="minorHAnsi"/>
          <w:sz w:val="28"/>
          <w:szCs w:val="28"/>
        </w:rPr>
        <w:tab/>
      </w:r>
      <w:r w:rsidR="00AE6F68" w:rsidRPr="00626A15">
        <w:rPr>
          <w:rFonts w:asciiTheme="minorHAnsi" w:hAnsiTheme="minorHAnsi" w:cstheme="minorHAnsi"/>
          <w:b/>
          <w:sz w:val="28"/>
          <w:szCs w:val="28"/>
        </w:rPr>
        <w:t xml:space="preserve">Régimen de </w:t>
      </w:r>
      <w:r w:rsidRPr="00626A15">
        <w:rPr>
          <w:rFonts w:asciiTheme="minorHAnsi" w:hAnsiTheme="minorHAnsi" w:cstheme="minorHAnsi"/>
          <w:b/>
          <w:sz w:val="28"/>
          <w:szCs w:val="28"/>
        </w:rPr>
        <w:t xml:space="preserve"> bienes</w:t>
      </w:r>
      <w:r w:rsidR="00AE6F68" w:rsidRPr="00626A15">
        <w:rPr>
          <w:rFonts w:asciiTheme="minorHAnsi" w:hAnsiTheme="minorHAnsi" w:cstheme="minorHAnsi"/>
          <w:b/>
          <w:sz w:val="28"/>
          <w:szCs w:val="28"/>
        </w:rPr>
        <w:t xml:space="preserve"> más amplio.</w:t>
      </w:r>
      <w:r w:rsidR="00AE6F68" w:rsidRPr="00626A15">
        <w:rPr>
          <w:rFonts w:asciiTheme="minorHAnsi" w:hAnsiTheme="minorHAnsi" w:cstheme="minorHAnsi"/>
          <w:sz w:val="28"/>
          <w:szCs w:val="28"/>
        </w:rPr>
        <w:t xml:space="preserve"> Incorpora bienes que, siendo de la persona, no tienen un valor económico, aunque sí una utilidad, </w:t>
      </w:r>
      <w:r w:rsidR="00EC6F71" w:rsidRPr="00626A15">
        <w:rPr>
          <w:rFonts w:asciiTheme="minorHAnsi" w:hAnsiTheme="minorHAnsi" w:cstheme="minorHAnsi"/>
          <w:sz w:val="28"/>
          <w:szCs w:val="28"/>
        </w:rPr>
        <w:t>y desarrolla un nuevo sistema de l</w:t>
      </w:r>
      <w:r w:rsidR="00AE6F68" w:rsidRPr="00626A15">
        <w:rPr>
          <w:rFonts w:asciiTheme="minorHAnsi" w:hAnsiTheme="minorHAnsi" w:cstheme="minorHAnsi"/>
          <w:sz w:val="28"/>
          <w:szCs w:val="28"/>
        </w:rPr>
        <w:t>a relación exclusiva entre los bienes y la persona</w:t>
      </w:r>
      <w:r w:rsidR="00EC6F71" w:rsidRPr="00626A15">
        <w:rPr>
          <w:rFonts w:asciiTheme="minorHAnsi" w:hAnsiTheme="minorHAnsi" w:cstheme="minorHAnsi"/>
          <w:sz w:val="28"/>
          <w:szCs w:val="28"/>
        </w:rPr>
        <w:t xml:space="preserve"> y los </w:t>
      </w:r>
      <w:r w:rsidRPr="00626A15">
        <w:rPr>
          <w:rFonts w:asciiTheme="minorHAnsi" w:hAnsiTheme="minorHAnsi" w:cstheme="minorHAnsi"/>
          <w:sz w:val="28"/>
          <w:szCs w:val="28"/>
        </w:rPr>
        <w:t>conflictos ambientales,</w:t>
      </w:r>
      <w:r w:rsidR="00EC6F71" w:rsidRPr="00626A15">
        <w:rPr>
          <w:rFonts w:asciiTheme="minorHAnsi" w:hAnsiTheme="minorHAnsi" w:cstheme="minorHAnsi"/>
          <w:sz w:val="28"/>
          <w:szCs w:val="28"/>
        </w:rPr>
        <w:t xml:space="preserve"> considerándolos colectivos y no solamente de propiedad del Estado.</w:t>
      </w:r>
    </w:p>
    <w:p w:rsidR="00EC6F71" w:rsidRPr="00626A15" w:rsidRDefault="00EC6F71" w:rsidP="004914EB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562F99" w:rsidRPr="00626A15" w:rsidRDefault="00AD6B04" w:rsidP="004914EB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•</w:t>
      </w:r>
      <w:r w:rsidRPr="00626A15">
        <w:rPr>
          <w:rFonts w:asciiTheme="minorHAnsi" w:hAnsiTheme="minorHAnsi" w:cstheme="minorHAnsi"/>
          <w:sz w:val="28"/>
          <w:szCs w:val="28"/>
        </w:rPr>
        <w:tab/>
      </w:r>
      <w:r w:rsidRPr="00626A15">
        <w:rPr>
          <w:rFonts w:asciiTheme="minorHAnsi" w:hAnsiTheme="minorHAnsi" w:cstheme="minorHAnsi"/>
          <w:b/>
          <w:sz w:val="28"/>
          <w:szCs w:val="28"/>
        </w:rPr>
        <w:t>Código para una sociedad multicultural</w:t>
      </w:r>
      <w:r w:rsidRPr="00626A15">
        <w:rPr>
          <w:rFonts w:asciiTheme="minorHAnsi" w:hAnsiTheme="minorHAnsi" w:cstheme="minorHAnsi"/>
          <w:sz w:val="28"/>
          <w:szCs w:val="28"/>
        </w:rPr>
        <w:t xml:space="preserve">. </w:t>
      </w:r>
      <w:r w:rsidR="00EC6F71" w:rsidRPr="00626A15">
        <w:rPr>
          <w:rFonts w:asciiTheme="minorHAnsi" w:hAnsiTheme="minorHAnsi" w:cstheme="minorHAnsi"/>
          <w:sz w:val="28"/>
          <w:szCs w:val="28"/>
        </w:rPr>
        <w:t>Regula situaciones propias de la vida de una sociedad pluralista</w:t>
      </w:r>
      <w:r w:rsidR="00562F99" w:rsidRPr="00626A15">
        <w:rPr>
          <w:rFonts w:asciiTheme="minorHAnsi" w:hAnsiTheme="minorHAnsi" w:cstheme="minorHAnsi"/>
          <w:sz w:val="28"/>
          <w:szCs w:val="28"/>
        </w:rPr>
        <w:t>, tanto de la vida personal como las de familia.</w:t>
      </w:r>
    </w:p>
    <w:p w:rsidR="00562F99" w:rsidRPr="00626A15" w:rsidRDefault="00562F99" w:rsidP="004914EB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562F99" w:rsidRPr="00626A15" w:rsidRDefault="00AD6B04" w:rsidP="004914EB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 xml:space="preserve"> •</w:t>
      </w:r>
      <w:r w:rsidRPr="00626A15">
        <w:rPr>
          <w:rFonts w:asciiTheme="minorHAnsi" w:hAnsiTheme="minorHAnsi" w:cstheme="minorHAnsi"/>
          <w:sz w:val="28"/>
          <w:szCs w:val="28"/>
        </w:rPr>
        <w:tab/>
      </w:r>
      <w:r w:rsidRPr="00626A15">
        <w:rPr>
          <w:rFonts w:asciiTheme="minorHAnsi" w:hAnsiTheme="minorHAnsi" w:cstheme="minorHAnsi"/>
          <w:b/>
          <w:sz w:val="28"/>
          <w:szCs w:val="28"/>
        </w:rPr>
        <w:t>Código para la seguridad jurídica en las transacciones comerciales.</w:t>
      </w:r>
      <w:r w:rsidRPr="00626A15">
        <w:rPr>
          <w:rFonts w:asciiTheme="minorHAnsi" w:hAnsiTheme="minorHAnsi" w:cstheme="minorHAnsi"/>
          <w:sz w:val="28"/>
          <w:szCs w:val="28"/>
        </w:rPr>
        <w:t xml:space="preserve"> </w:t>
      </w:r>
      <w:r w:rsidR="00562F99" w:rsidRPr="00626A15">
        <w:rPr>
          <w:rFonts w:asciiTheme="minorHAnsi" w:hAnsiTheme="minorHAnsi" w:cstheme="minorHAnsi"/>
          <w:sz w:val="28"/>
          <w:szCs w:val="28"/>
        </w:rPr>
        <w:t>Incorpora institutos modernos de la vida comercial actualmente sin regulación o regulaciones parciales.</w:t>
      </w:r>
    </w:p>
    <w:p w:rsidR="00AD6B04" w:rsidRPr="00626A15" w:rsidRDefault="00AD6B04" w:rsidP="004914EB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 xml:space="preserve"> </w:t>
      </w:r>
    </w:p>
    <w:p w:rsidR="00AD6B04" w:rsidRPr="00626A15" w:rsidRDefault="00A613BE" w:rsidP="004914EB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 xml:space="preserve">Es importante, también, conocer </w:t>
      </w:r>
      <w:r w:rsidRPr="00626A15">
        <w:rPr>
          <w:rFonts w:asciiTheme="minorHAnsi" w:hAnsiTheme="minorHAnsi" w:cstheme="minorHAnsi"/>
          <w:b/>
          <w:sz w:val="28"/>
          <w:szCs w:val="28"/>
        </w:rPr>
        <w:t>el método utilizado</w:t>
      </w:r>
      <w:r w:rsidRPr="00626A15">
        <w:rPr>
          <w:rFonts w:asciiTheme="minorHAnsi" w:hAnsiTheme="minorHAnsi" w:cstheme="minorHAnsi"/>
          <w:sz w:val="28"/>
          <w:szCs w:val="28"/>
        </w:rPr>
        <w:t xml:space="preserve"> para regular estos contratos, puesto que ello nos va a permitir una mejor interpretación de todo el sistema. </w:t>
      </w:r>
    </w:p>
    <w:p w:rsidR="00AD6B04" w:rsidRPr="00626A15" w:rsidRDefault="00AD6B04" w:rsidP="004914EB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663821" w:rsidRPr="00626A15" w:rsidRDefault="00A613BE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Al respecto, se unifica los códigos civil y comercial, ordenando  un título preliminar</w:t>
      </w:r>
      <w:r w:rsidR="00A10F06" w:rsidRPr="00626A15">
        <w:rPr>
          <w:rFonts w:asciiTheme="minorHAnsi" w:hAnsiTheme="minorHAnsi" w:cstheme="minorHAnsi"/>
          <w:sz w:val="28"/>
          <w:szCs w:val="28"/>
        </w:rPr>
        <w:t xml:space="preserve"> (reglas que confieren una significación general a todo el Código</w:t>
      </w:r>
      <w:r w:rsidR="001A71C9" w:rsidRPr="00626A15">
        <w:rPr>
          <w:rFonts w:asciiTheme="minorHAnsi" w:hAnsiTheme="minorHAnsi" w:cstheme="minorHAnsi"/>
          <w:sz w:val="28"/>
          <w:szCs w:val="28"/>
        </w:rPr>
        <w:t xml:space="preserve"> regulando todo el sistema en cuanto al derecho, las leyes, el ejercicio de los derechos y los bienes</w:t>
      </w:r>
      <w:r w:rsidR="00A10F06" w:rsidRPr="00626A15">
        <w:rPr>
          <w:rFonts w:asciiTheme="minorHAnsi" w:hAnsiTheme="minorHAnsi" w:cstheme="minorHAnsi"/>
          <w:sz w:val="28"/>
          <w:szCs w:val="28"/>
        </w:rPr>
        <w:t xml:space="preserve">) </w:t>
      </w:r>
      <w:r w:rsidRPr="00626A15">
        <w:rPr>
          <w:rFonts w:asciiTheme="minorHAnsi" w:hAnsiTheme="minorHAnsi" w:cstheme="minorHAnsi"/>
          <w:sz w:val="28"/>
          <w:szCs w:val="28"/>
        </w:rPr>
        <w:t>y luego una parte general para todo el Código, así como partes generales para diversas instituciones que regula.</w:t>
      </w:r>
      <w:r w:rsidR="00E550C0" w:rsidRPr="00626A15">
        <w:rPr>
          <w:sz w:val="28"/>
          <w:szCs w:val="28"/>
        </w:rPr>
        <w:t xml:space="preserve"> L</w:t>
      </w:r>
      <w:r w:rsidR="00E550C0" w:rsidRPr="00626A15">
        <w:rPr>
          <w:rFonts w:asciiTheme="minorHAnsi" w:hAnsiTheme="minorHAnsi" w:cstheme="minorHAnsi"/>
          <w:sz w:val="28"/>
          <w:szCs w:val="28"/>
        </w:rPr>
        <w:t>as definiciones tienen efecto normativo</w:t>
      </w:r>
      <w:r w:rsidR="0060727E" w:rsidRPr="00626A15">
        <w:rPr>
          <w:rFonts w:asciiTheme="minorHAnsi" w:hAnsiTheme="minorHAnsi" w:cstheme="minorHAnsi"/>
          <w:sz w:val="28"/>
          <w:szCs w:val="28"/>
        </w:rPr>
        <w:t>;</w:t>
      </w:r>
      <w:r w:rsidR="00E550C0" w:rsidRPr="00626A15">
        <w:rPr>
          <w:rFonts w:asciiTheme="minorHAnsi" w:hAnsiTheme="minorHAnsi" w:cstheme="minorHAnsi"/>
          <w:sz w:val="28"/>
          <w:szCs w:val="28"/>
        </w:rPr>
        <w:t xml:space="preserve"> la redacción es simplificada para el entendimiento de todos los mie</w:t>
      </w:r>
      <w:r w:rsidR="0060727E" w:rsidRPr="00626A15">
        <w:rPr>
          <w:rFonts w:asciiTheme="minorHAnsi" w:hAnsiTheme="minorHAnsi" w:cstheme="minorHAnsi"/>
          <w:sz w:val="28"/>
          <w:szCs w:val="28"/>
        </w:rPr>
        <w:t>mbros de la sociedad;</w:t>
      </w:r>
      <w:r w:rsidR="00E550C0" w:rsidRPr="00626A15">
        <w:rPr>
          <w:rFonts w:asciiTheme="minorHAnsi" w:hAnsiTheme="minorHAnsi" w:cstheme="minorHAnsi"/>
          <w:sz w:val="28"/>
          <w:szCs w:val="28"/>
        </w:rPr>
        <w:t xml:space="preserve"> </w:t>
      </w:r>
      <w:r w:rsidR="00F767C7" w:rsidRPr="00626A15">
        <w:rPr>
          <w:rFonts w:asciiTheme="minorHAnsi" w:hAnsiTheme="minorHAnsi" w:cstheme="minorHAnsi"/>
          <w:sz w:val="28"/>
          <w:szCs w:val="28"/>
        </w:rPr>
        <w:t>armonización de sus normas con las del derecho vigente en nuestra legislación</w:t>
      </w:r>
      <w:r w:rsidR="00F97371" w:rsidRPr="00626A15">
        <w:rPr>
          <w:rFonts w:asciiTheme="minorHAnsi" w:hAnsiTheme="minorHAnsi" w:cstheme="minorHAnsi"/>
          <w:sz w:val="28"/>
          <w:szCs w:val="28"/>
        </w:rPr>
        <w:t xml:space="preserve"> manteniéndolo sin modificación, salvo respecto a </w:t>
      </w:r>
      <w:r w:rsidR="0060727E" w:rsidRPr="00626A15">
        <w:rPr>
          <w:rFonts w:asciiTheme="minorHAnsi" w:hAnsiTheme="minorHAnsi" w:cstheme="minorHAnsi"/>
          <w:sz w:val="28"/>
          <w:szCs w:val="28"/>
        </w:rPr>
        <w:t>su ajuste con el nuevo sistema del Código;</w:t>
      </w:r>
      <w:r w:rsidR="00F97371" w:rsidRPr="00626A15">
        <w:rPr>
          <w:sz w:val="28"/>
          <w:szCs w:val="28"/>
        </w:rPr>
        <w:t xml:space="preserve"> </w:t>
      </w:r>
      <w:r w:rsidR="00F97371" w:rsidRPr="00626A15">
        <w:rPr>
          <w:rFonts w:asciiTheme="minorHAnsi" w:hAnsiTheme="minorHAnsi" w:cstheme="minorHAnsi"/>
          <w:sz w:val="28"/>
          <w:szCs w:val="28"/>
        </w:rPr>
        <w:t xml:space="preserve"> contenido de normas de orden público en áreas relevantes</w:t>
      </w:r>
      <w:r w:rsidR="0060727E" w:rsidRPr="00626A15">
        <w:rPr>
          <w:rFonts w:asciiTheme="minorHAnsi" w:hAnsiTheme="minorHAnsi" w:cstheme="minorHAnsi"/>
          <w:sz w:val="28"/>
          <w:szCs w:val="28"/>
        </w:rPr>
        <w:t xml:space="preserve"> y</w:t>
      </w:r>
      <w:r w:rsidR="00F97371" w:rsidRPr="00626A15">
        <w:rPr>
          <w:sz w:val="28"/>
          <w:szCs w:val="28"/>
        </w:rPr>
        <w:t xml:space="preserve"> </w:t>
      </w:r>
      <w:r w:rsidR="00F97371" w:rsidRPr="00626A15">
        <w:rPr>
          <w:rFonts w:asciiTheme="minorHAnsi" w:hAnsiTheme="minorHAnsi" w:cstheme="minorHAnsi"/>
          <w:sz w:val="28"/>
          <w:szCs w:val="28"/>
        </w:rPr>
        <w:t>derecho supletorio como modelo</w:t>
      </w:r>
      <w:r w:rsidR="0060727E" w:rsidRPr="00626A15">
        <w:rPr>
          <w:rFonts w:asciiTheme="minorHAnsi" w:hAnsiTheme="minorHAnsi" w:cstheme="minorHAnsi"/>
          <w:sz w:val="28"/>
          <w:szCs w:val="28"/>
        </w:rPr>
        <w:t>.</w:t>
      </w:r>
    </w:p>
    <w:p w:rsidR="001A71C9" w:rsidRPr="00626A15" w:rsidRDefault="001A71C9" w:rsidP="00A613BE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A613BE" w:rsidRPr="00626A15" w:rsidRDefault="00663821" w:rsidP="00A613BE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26A15">
        <w:rPr>
          <w:rFonts w:asciiTheme="minorHAnsi" w:hAnsiTheme="minorHAnsi" w:cstheme="minorHAnsi"/>
          <w:b/>
          <w:sz w:val="28"/>
          <w:szCs w:val="28"/>
        </w:rPr>
        <w:t>SISTEMATIZACION DEL TEMA</w:t>
      </w:r>
      <w:r w:rsidR="00F97371" w:rsidRPr="00626A15">
        <w:rPr>
          <w:rFonts w:asciiTheme="minorHAnsi" w:hAnsiTheme="minorHAnsi" w:cstheme="minorHAnsi"/>
          <w:b/>
          <w:sz w:val="28"/>
          <w:szCs w:val="28"/>
        </w:rPr>
        <w:t xml:space="preserve">   </w:t>
      </w:r>
      <w:r w:rsidR="00F767C7" w:rsidRPr="00626A15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:rsidR="00691F6C" w:rsidRPr="00626A15" w:rsidRDefault="00691F6C" w:rsidP="00A613BE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663821" w:rsidRPr="00626A15" w:rsidRDefault="00691F6C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Resta, ahora, ubicar nuestro tema de estudio dentro del nuevo sistema. Para ello, se expone su organización general.</w:t>
      </w:r>
    </w:p>
    <w:p w:rsidR="00691F6C" w:rsidRPr="00626A15" w:rsidRDefault="00691F6C" w:rsidP="00A613BE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69279F" w:rsidRPr="00626A15" w:rsidRDefault="00F42F28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lastRenderedPageBreak/>
        <w:t>S</w:t>
      </w:r>
      <w:r w:rsidR="0069279F" w:rsidRPr="00626A15">
        <w:rPr>
          <w:rFonts w:asciiTheme="minorHAnsi" w:hAnsiTheme="minorHAnsi" w:cstheme="minorHAnsi"/>
          <w:sz w:val="28"/>
          <w:szCs w:val="28"/>
        </w:rPr>
        <w:t>e regula</w:t>
      </w:r>
      <w:r w:rsidR="00691F6C" w:rsidRPr="00626A15">
        <w:rPr>
          <w:rFonts w:asciiTheme="minorHAnsi" w:hAnsiTheme="minorHAnsi" w:cstheme="minorHAnsi"/>
          <w:sz w:val="28"/>
          <w:szCs w:val="28"/>
        </w:rPr>
        <w:t>n</w:t>
      </w:r>
      <w:r w:rsidR="0069279F" w:rsidRPr="00626A15">
        <w:rPr>
          <w:rFonts w:asciiTheme="minorHAnsi" w:hAnsiTheme="minorHAnsi" w:cstheme="minorHAnsi"/>
          <w:sz w:val="28"/>
          <w:szCs w:val="28"/>
        </w:rPr>
        <w:t xml:space="preserve"> tanto los contratos civiles como los comerciales </w:t>
      </w:r>
      <w:r w:rsidR="00691F6C" w:rsidRPr="00626A15">
        <w:rPr>
          <w:rFonts w:asciiTheme="minorHAnsi" w:hAnsiTheme="minorHAnsi" w:cstheme="minorHAnsi"/>
          <w:sz w:val="28"/>
          <w:szCs w:val="28"/>
        </w:rPr>
        <w:t>y se</w:t>
      </w:r>
      <w:r w:rsidR="0069279F" w:rsidRPr="00626A15">
        <w:rPr>
          <w:rFonts w:asciiTheme="minorHAnsi" w:hAnsiTheme="minorHAnsi" w:cstheme="minorHAnsi"/>
          <w:sz w:val="28"/>
          <w:szCs w:val="28"/>
        </w:rPr>
        <w:t xml:space="preserve"> incorpora</w:t>
      </w:r>
      <w:r w:rsidR="00691F6C" w:rsidRPr="00626A15">
        <w:rPr>
          <w:rFonts w:asciiTheme="minorHAnsi" w:hAnsiTheme="minorHAnsi" w:cstheme="minorHAnsi"/>
          <w:sz w:val="28"/>
          <w:szCs w:val="28"/>
        </w:rPr>
        <w:t>n</w:t>
      </w:r>
      <w:r w:rsidR="0069279F" w:rsidRPr="00626A15">
        <w:rPr>
          <w:rFonts w:asciiTheme="minorHAnsi" w:hAnsiTheme="minorHAnsi" w:cstheme="minorHAnsi"/>
          <w:sz w:val="28"/>
          <w:szCs w:val="28"/>
        </w:rPr>
        <w:t xml:space="preserve"> los contratos de consumo</w:t>
      </w:r>
      <w:r w:rsidR="008254D5" w:rsidRPr="00626A15">
        <w:rPr>
          <w:rFonts w:asciiTheme="minorHAnsi" w:hAnsiTheme="minorHAnsi" w:cstheme="minorHAnsi"/>
          <w:sz w:val="28"/>
          <w:szCs w:val="28"/>
        </w:rPr>
        <w:t xml:space="preserve"> atendiendo a que no son un tipo especial más sino una fragmentación del tipo general de contratos, que influye sobre los tipos especiales. </w:t>
      </w:r>
    </w:p>
    <w:p w:rsidR="00F42F28" w:rsidRPr="00626A15" w:rsidRDefault="00F42F28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 xml:space="preserve">Dentro del Libro Cuarto (derechos personales) y luego del título I (de las obligaciones en general), se distinguen tres títulos: </w:t>
      </w:r>
      <w:r w:rsidRPr="00626A15">
        <w:rPr>
          <w:rFonts w:asciiTheme="minorHAnsi" w:hAnsiTheme="minorHAnsi" w:cstheme="minorHAnsi"/>
          <w:b/>
          <w:sz w:val="28"/>
          <w:szCs w:val="28"/>
        </w:rPr>
        <w:t>el primero dedicado a los contratos en general</w:t>
      </w:r>
      <w:r w:rsidRPr="00626A15">
        <w:rPr>
          <w:rFonts w:asciiTheme="minorHAnsi" w:hAnsiTheme="minorHAnsi" w:cstheme="minorHAnsi"/>
          <w:sz w:val="28"/>
          <w:szCs w:val="28"/>
        </w:rPr>
        <w:t xml:space="preserve">, el segundo a los contratos de consumo y </w:t>
      </w:r>
      <w:r w:rsidRPr="00626A15">
        <w:rPr>
          <w:rFonts w:asciiTheme="minorHAnsi" w:hAnsiTheme="minorHAnsi" w:cstheme="minorHAnsi"/>
          <w:b/>
          <w:sz w:val="28"/>
          <w:szCs w:val="28"/>
        </w:rPr>
        <w:t>el tercero a los contratos en particular, entre los cuales se encuentran cada uno de los contratos bancarios.</w:t>
      </w:r>
    </w:p>
    <w:p w:rsidR="00691F6C" w:rsidRPr="00626A15" w:rsidRDefault="00691F6C" w:rsidP="00A613BE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691F6C" w:rsidRPr="00626A15" w:rsidRDefault="00691F6C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 xml:space="preserve">En la </w:t>
      </w:r>
      <w:r w:rsidRPr="00626A15">
        <w:rPr>
          <w:rFonts w:asciiTheme="minorHAnsi" w:hAnsiTheme="minorHAnsi" w:cstheme="minorHAnsi"/>
          <w:b/>
          <w:sz w:val="28"/>
          <w:szCs w:val="28"/>
        </w:rPr>
        <w:t>parte general</w:t>
      </w:r>
      <w:r w:rsidR="00C342CA" w:rsidRPr="00626A15">
        <w:rPr>
          <w:rFonts w:asciiTheme="minorHAnsi" w:hAnsiTheme="minorHAnsi" w:cstheme="minorHAnsi"/>
          <w:b/>
          <w:sz w:val="28"/>
          <w:szCs w:val="28"/>
        </w:rPr>
        <w:t xml:space="preserve">, </w:t>
      </w:r>
      <w:r w:rsidR="00C342CA" w:rsidRPr="00626A15">
        <w:rPr>
          <w:rFonts w:asciiTheme="minorHAnsi" w:hAnsiTheme="minorHAnsi" w:cstheme="minorHAnsi"/>
          <w:sz w:val="28"/>
          <w:szCs w:val="28"/>
        </w:rPr>
        <w:t>se parte con la definición de</w:t>
      </w:r>
      <w:r w:rsidRPr="00626A15">
        <w:rPr>
          <w:rFonts w:asciiTheme="minorHAnsi" w:hAnsiTheme="minorHAnsi" w:cstheme="minorHAnsi"/>
          <w:sz w:val="28"/>
          <w:szCs w:val="28"/>
        </w:rPr>
        <w:t xml:space="preserve"> contrato como el acto jurídico mediante el cual dos o más partes manifiestan su consentimiento para crear, regular, modificar, transferir o extinguir relaciones jurídicas patrimoniales.</w:t>
      </w:r>
    </w:p>
    <w:p w:rsidR="00691F6C" w:rsidRPr="00626A15" w:rsidRDefault="00691F6C" w:rsidP="00A613BE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663821" w:rsidRPr="00626A15" w:rsidRDefault="00691F6C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 xml:space="preserve">Luego, se establecen los principios jurídicos aplicables en la materia: </w:t>
      </w:r>
    </w:p>
    <w:p w:rsidR="00691F6C" w:rsidRPr="00626A15" w:rsidRDefault="00691F6C" w:rsidP="00691F6C">
      <w:pPr>
        <w:pStyle w:val="Prrafodelista"/>
        <w:numPr>
          <w:ilvl w:val="0"/>
          <w:numId w:val="1"/>
        </w:num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La libertad de las partes para celebrar y configurar el contenido del contrato dentro de los límites impuestos por la ley y el orden público.</w:t>
      </w:r>
    </w:p>
    <w:p w:rsidR="00691F6C" w:rsidRPr="00626A15" w:rsidRDefault="00691F6C" w:rsidP="00691F6C">
      <w:pPr>
        <w:pStyle w:val="Prrafodelista"/>
        <w:numPr>
          <w:ilvl w:val="0"/>
          <w:numId w:val="1"/>
        </w:num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La fuerza obligatoria mediante la cual el contrato válidamente celebrado es obligatorio para las partes.</w:t>
      </w:r>
    </w:p>
    <w:p w:rsidR="00691F6C" w:rsidRPr="00626A15" w:rsidRDefault="00691F6C" w:rsidP="00691F6C">
      <w:pPr>
        <w:pStyle w:val="Prrafodelista"/>
        <w:numPr>
          <w:ilvl w:val="0"/>
          <w:numId w:val="1"/>
        </w:num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La buena fe en la celebrac</w:t>
      </w:r>
      <w:r w:rsidR="00C342CA" w:rsidRPr="00626A15">
        <w:rPr>
          <w:rFonts w:asciiTheme="minorHAnsi" w:hAnsiTheme="minorHAnsi" w:cstheme="minorHAnsi"/>
          <w:sz w:val="28"/>
          <w:szCs w:val="28"/>
        </w:rPr>
        <w:t>ió</w:t>
      </w:r>
      <w:r w:rsidR="00C5428A" w:rsidRPr="00626A15">
        <w:rPr>
          <w:rFonts w:asciiTheme="minorHAnsi" w:hAnsiTheme="minorHAnsi" w:cstheme="minorHAnsi"/>
          <w:sz w:val="28"/>
          <w:szCs w:val="28"/>
        </w:rPr>
        <w:t>n, interpretación y ejecución (</w:t>
      </w:r>
      <w:r w:rsidR="00C342CA" w:rsidRPr="00626A15">
        <w:rPr>
          <w:rFonts w:asciiTheme="minorHAnsi" w:hAnsiTheme="minorHAnsi" w:cstheme="minorHAnsi"/>
          <w:sz w:val="28"/>
          <w:szCs w:val="28"/>
        </w:rPr>
        <w:t>incorpora la figura del poscontrato).-</w:t>
      </w:r>
    </w:p>
    <w:p w:rsidR="00C5428A" w:rsidRPr="00626A15" w:rsidRDefault="00C5428A" w:rsidP="00C5428A">
      <w:pPr>
        <w:pStyle w:val="Prrafodelista"/>
        <w:rPr>
          <w:rFonts w:asciiTheme="minorHAnsi" w:hAnsiTheme="minorHAnsi" w:cstheme="minorHAnsi"/>
          <w:sz w:val="28"/>
          <w:szCs w:val="28"/>
        </w:rPr>
      </w:pPr>
    </w:p>
    <w:p w:rsidR="00C5428A" w:rsidRPr="00626A15" w:rsidRDefault="00C5428A" w:rsidP="00C5428A">
      <w:pPr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También, en esta parte general</w:t>
      </w:r>
      <w:r w:rsidR="0000695C" w:rsidRPr="00626A15">
        <w:rPr>
          <w:rFonts w:asciiTheme="minorHAnsi" w:hAnsiTheme="minorHAnsi" w:cstheme="minorHAnsi"/>
          <w:sz w:val="28"/>
          <w:szCs w:val="28"/>
        </w:rPr>
        <w:t>,</w:t>
      </w:r>
      <w:r w:rsidRPr="00626A15">
        <w:rPr>
          <w:rFonts w:asciiTheme="minorHAnsi" w:hAnsiTheme="minorHAnsi" w:cstheme="minorHAnsi"/>
          <w:sz w:val="28"/>
          <w:szCs w:val="28"/>
        </w:rPr>
        <w:t xml:space="preserve"> se regulan los criterios para resolver la relación entre la autonomía de la voluntad y las normas legales, conflictos de no</w:t>
      </w:r>
      <w:r w:rsidR="0000695C" w:rsidRPr="00626A15">
        <w:rPr>
          <w:rFonts w:asciiTheme="minorHAnsi" w:hAnsiTheme="minorHAnsi" w:cstheme="minorHAnsi"/>
          <w:sz w:val="28"/>
          <w:szCs w:val="28"/>
        </w:rPr>
        <w:t>rmas e integración del contrato:</w:t>
      </w:r>
    </w:p>
    <w:p w:rsidR="0000695C" w:rsidRPr="00626A15" w:rsidRDefault="0000695C" w:rsidP="0000695C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los jueces no tienen facultades para  modificar las estipulaciones de los contratos, excepto que sea a pedido de partes cuando lo autoriza la ley, o de oficio, cuando se afecta de modo manifiesto el orden público.</w:t>
      </w:r>
    </w:p>
    <w:p w:rsidR="0000695C" w:rsidRPr="00626A15" w:rsidRDefault="0000695C" w:rsidP="0000695C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el control judicial en los vínculos celebrados por adhesión a condiciones generales de la contratación</w:t>
      </w:r>
    </w:p>
    <w:p w:rsidR="0000695C" w:rsidRPr="00626A15" w:rsidRDefault="0000695C" w:rsidP="0000695C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los derechos resultantes del contrato integran el derecho de propiedad</w:t>
      </w:r>
    </w:p>
    <w:p w:rsidR="0000695C" w:rsidRPr="00626A15" w:rsidRDefault="0000695C" w:rsidP="0000695C">
      <w:pPr>
        <w:ind w:left="360"/>
        <w:rPr>
          <w:rFonts w:asciiTheme="minorHAnsi" w:hAnsiTheme="minorHAnsi" w:cstheme="minorHAnsi"/>
          <w:sz w:val="28"/>
          <w:szCs w:val="28"/>
        </w:rPr>
      </w:pPr>
    </w:p>
    <w:p w:rsidR="00DD6876" w:rsidRPr="00626A15" w:rsidRDefault="0000695C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En esta parte general, se reúnen las normas referidas al consentimiento; adhesión y predisposición; cláusulas o condiciones; control de incorporación y contenido; efectos</w:t>
      </w:r>
      <w:r w:rsidR="00B320C0" w:rsidRPr="00626A15">
        <w:rPr>
          <w:rFonts w:asciiTheme="minorHAnsi" w:hAnsiTheme="minorHAnsi" w:cstheme="minorHAnsi"/>
          <w:sz w:val="28"/>
          <w:szCs w:val="28"/>
        </w:rPr>
        <w:t xml:space="preserve"> (el principio es el efecto relativo de los contratos)</w:t>
      </w:r>
      <w:r w:rsidRPr="00626A15">
        <w:rPr>
          <w:rFonts w:asciiTheme="minorHAnsi" w:hAnsiTheme="minorHAnsi" w:cstheme="minorHAnsi"/>
          <w:sz w:val="28"/>
          <w:szCs w:val="28"/>
        </w:rPr>
        <w:t xml:space="preserve">; tratativas contractuales;  contrato preliminar; la promesa de </w:t>
      </w:r>
      <w:r w:rsidRPr="00626A15">
        <w:rPr>
          <w:rFonts w:asciiTheme="minorHAnsi" w:hAnsiTheme="minorHAnsi" w:cstheme="minorHAnsi"/>
          <w:sz w:val="28"/>
          <w:szCs w:val="28"/>
        </w:rPr>
        <w:lastRenderedPageBreak/>
        <w:t>contratar; la cláusula de opción; el pacto de preferencia; el contrato cuyo perfeccionamiento está sometido a condición suspensiva y el que está vinculado a la conformidad o aprobación de un tercero.</w:t>
      </w:r>
      <w:r w:rsidR="00317514" w:rsidRPr="00626A15">
        <w:rPr>
          <w:rFonts w:asciiTheme="minorHAnsi" w:hAnsiTheme="minorHAnsi" w:cstheme="minorHAnsi"/>
          <w:sz w:val="28"/>
          <w:szCs w:val="28"/>
        </w:rPr>
        <w:t>; capacidad; objeto; causa; forma y prueba</w:t>
      </w:r>
      <w:r w:rsidR="00382588" w:rsidRPr="00626A15">
        <w:rPr>
          <w:rFonts w:asciiTheme="minorHAnsi" w:hAnsiTheme="minorHAnsi" w:cstheme="minorHAnsi"/>
          <w:sz w:val="28"/>
          <w:szCs w:val="28"/>
        </w:rPr>
        <w:t xml:space="preserve"> </w:t>
      </w:r>
      <w:r w:rsidR="00317514" w:rsidRPr="00626A15">
        <w:rPr>
          <w:rFonts w:asciiTheme="minorHAnsi" w:hAnsiTheme="minorHAnsi" w:cstheme="minorHAnsi"/>
          <w:sz w:val="28"/>
          <w:szCs w:val="28"/>
        </w:rPr>
        <w:t>del contrato</w:t>
      </w:r>
      <w:r w:rsidR="00B320C0" w:rsidRPr="00626A15">
        <w:rPr>
          <w:rFonts w:asciiTheme="minorHAnsi" w:hAnsiTheme="minorHAnsi" w:cstheme="minorHAnsi"/>
          <w:sz w:val="28"/>
          <w:szCs w:val="28"/>
        </w:rPr>
        <w:t xml:space="preserve">. También se establecen los criterios de determinación, bienes futuros, ajenos, litigiosos y la contratación sobre herencia futura. </w:t>
      </w:r>
      <w:r w:rsidR="00382588" w:rsidRPr="00626A15">
        <w:rPr>
          <w:rFonts w:asciiTheme="minorHAnsi" w:hAnsiTheme="minorHAnsi" w:cstheme="minorHAnsi"/>
          <w:sz w:val="28"/>
          <w:szCs w:val="28"/>
        </w:rPr>
        <w:t>Incluye, esta parte, normas sobre los vicios redhibitorios y la obligación de saneamiento;  interpretación; subcontrato; extinción, modificación y adecuación del contrato y contratos conexos.</w:t>
      </w:r>
    </w:p>
    <w:p w:rsidR="00131337" w:rsidRPr="00626A15" w:rsidRDefault="00131337" w:rsidP="00A613BE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131337" w:rsidRPr="00626A15" w:rsidRDefault="00131337" w:rsidP="00A613BE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 xml:space="preserve">Luego de tratar los contratos de consumo, como ya lo refiriéramos, se inicia </w:t>
      </w:r>
      <w:r w:rsidRPr="00626A15">
        <w:rPr>
          <w:rFonts w:asciiTheme="minorHAnsi" w:hAnsiTheme="minorHAnsi" w:cstheme="minorHAnsi"/>
          <w:b/>
          <w:sz w:val="28"/>
          <w:szCs w:val="28"/>
        </w:rPr>
        <w:t xml:space="preserve">el </w:t>
      </w:r>
      <w:r w:rsidR="007A5933" w:rsidRPr="00626A15">
        <w:rPr>
          <w:rFonts w:asciiTheme="minorHAnsi" w:hAnsiTheme="minorHAnsi" w:cstheme="minorHAnsi"/>
          <w:b/>
          <w:sz w:val="28"/>
          <w:szCs w:val="28"/>
        </w:rPr>
        <w:t xml:space="preserve">tratamiento de </w:t>
      </w:r>
      <w:r w:rsidRPr="00626A15">
        <w:rPr>
          <w:rFonts w:asciiTheme="minorHAnsi" w:hAnsiTheme="minorHAnsi" w:cstheme="minorHAnsi"/>
          <w:b/>
          <w:sz w:val="28"/>
          <w:szCs w:val="28"/>
        </w:rPr>
        <w:t>los contratos en particular, entre los cuales se encuentran los contratos bancarios:</w:t>
      </w:r>
    </w:p>
    <w:p w:rsidR="00131337" w:rsidRPr="00626A15" w:rsidRDefault="00131337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 xml:space="preserve"> </w:t>
      </w:r>
    </w:p>
    <w:p w:rsidR="000D1846" w:rsidRPr="00626A15" w:rsidRDefault="000D1846" w:rsidP="000D1846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Los autores afirman que el proyecto presenta una fractura del tipo general y por lo tanto hay dos partes generales, funcionando el sistema de la siguiente manera:</w:t>
      </w:r>
    </w:p>
    <w:p w:rsidR="000D1846" w:rsidRPr="00626A15" w:rsidRDefault="000D1846" w:rsidP="000D1846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•</w:t>
      </w:r>
      <w:r w:rsidRPr="00626A15">
        <w:rPr>
          <w:rFonts w:asciiTheme="minorHAnsi" w:hAnsiTheme="minorHAnsi" w:cstheme="minorHAnsi"/>
          <w:sz w:val="28"/>
          <w:szCs w:val="28"/>
        </w:rPr>
        <w:tab/>
        <w:t>Si hay un contrato discrecional, hay plena autonomía privada. Se aplica el título II, parte general.</w:t>
      </w:r>
    </w:p>
    <w:p w:rsidR="000D1846" w:rsidRPr="00626A15" w:rsidRDefault="000D1846" w:rsidP="000D1846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•</w:t>
      </w:r>
      <w:r w:rsidRPr="00626A15">
        <w:rPr>
          <w:rFonts w:asciiTheme="minorHAnsi" w:hAnsiTheme="minorHAnsi" w:cstheme="minorHAnsi"/>
          <w:sz w:val="28"/>
          <w:szCs w:val="28"/>
        </w:rPr>
        <w:tab/>
        <w:t xml:space="preserve">Si hay un contrato celebrado por adhesión, no hay consentimiento sino adhesión. Se aplica el título II, parte general, capítulo 3, sección dos, artículos 984 y siguientes, dedicados a esos vínculos. </w:t>
      </w:r>
    </w:p>
    <w:p w:rsidR="000D1846" w:rsidRPr="00626A15" w:rsidRDefault="000D1846" w:rsidP="000D1846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•</w:t>
      </w:r>
      <w:r w:rsidRPr="00626A15">
        <w:rPr>
          <w:rFonts w:asciiTheme="minorHAnsi" w:hAnsiTheme="minorHAnsi" w:cstheme="minorHAnsi"/>
          <w:sz w:val="28"/>
          <w:szCs w:val="28"/>
        </w:rPr>
        <w:tab/>
        <w:t xml:space="preserve">Si hay un contrato de consumo, se aplica el título III. En este caso no interesa si hay o no adhesión, ya que el elemento que define la tipicidad son los elementos descriptos en el artículo 1092. </w:t>
      </w:r>
    </w:p>
    <w:p w:rsidR="00560A96" w:rsidRPr="00626A15" w:rsidRDefault="00560A96" w:rsidP="000D1846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560A96" w:rsidRPr="00626A15" w:rsidRDefault="00560A96" w:rsidP="000D1846">
      <w:pPr>
        <w:jc w:val="both"/>
        <w:rPr>
          <w:rFonts w:asciiTheme="minorHAnsi" w:hAnsiTheme="minorHAnsi" w:cstheme="minorHAnsi"/>
          <w:sz w:val="28"/>
          <w:szCs w:val="28"/>
        </w:rPr>
      </w:pPr>
      <w:r w:rsidRPr="00626A15">
        <w:rPr>
          <w:rFonts w:asciiTheme="minorHAnsi" w:hAnsiTheme="minorHAnsi" w:cstheme="minorHAnsi"/>
          <w:sz w:val="28"/>
          <w:szCs w:val="28"/>
        </w:rPr>
        <w:t>Esta es la razón por la cual, hizo surgir, en este trabajo, la necesidad de considerar todo lo hasta aquí expuesto.</w:t>
      </w:r>
    </w:p>
    <w:p w:rsidR="00131337" w:rsidRDefault="00131337" w:rsidP="00A613BE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626A15" w:rsidRDefault="00626A15" w:rsidP="00A613BE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26A15">
        <w:rPr>
          <w:rFonts w:asciiTheme="minorHAnsi" w:hAnsiTheme="minorHAnsi" w:cstheme="minorHAnsi"/>
          <w:b/>
          <w:sz w:val="28"/>
          <w:szCs w:val="28"/>
        </w:rPr>
        <w:t>REGLAS GENERAL</w:t>
      </w:r>
      <w:r w:rsidR="005D6F8C">
        <w:rPr>
          <w:rFonts w:asciiTheme="minorHAnsi" w:hAnsiTheme="minorHAnsi" w:cstheme="minorHAnsi"/>
          <w:b/>
          <w:sz w:val="28"/>
          <w:szCs w:val="28"/>
        </w:rPr>
        <w:t>ES</w:t>
      </w:r>
      <w:r w:rsidRPr="00626A15">
        <w:rPr>
          <w:rFonts w:asciiTheme="minorHAnsi" w:hAnsiTheme="minorHAnsi" w:cstheme="minorHAnsi"/>
          <w:b/>
          <w:sz w:val="28"/>
          <w:szCs w:val="28"/>
        </w:rPr>
        <w:t xml:space="preserve"> DE LOS CONTRATOS BANCARIOS</w:t>
      </w:r>
    </w:p>
    <w:p w:rsidR="00366231" w:rsidRDefault="00366231" w:rsidP="00A613BE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366231" w:rsidRDefault="00366231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Los contratos bancarios tienen en e</w:t>
      </w:r>
      <w:r w:rsidRPr="00366231">
        <w:rPr>
          <w:rFonts w:asciiTheme="minorHAnsi" w:hAnsiTheme="minorHAnsi" w:cstheme="minorHAnsi"/>
          <w:sz w:val="28"/>
          <w:szCs w:val="28"/>
        </w:rPr>
        <w:t>l pro</w:t>
      </w:r>
      <w:r>
        <w:rPr>
          <w:rFonts w:asciiTheme="minorHAnsi" w:hAnsiTheme="minorHAnsi" w:cstheme="minorHAnsi"/>
          <w:sz w:val="28"/>
          <w:szCs w:val="28"/>
        </w:rPr>
        <w:t>yectado Código las siguientes características:</w:t>
      </w:r>
    </w:p>
    <w:p w:rsidR="00366231" w:rsidRDefault="00366231" w:rsidP="00A613BE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366231" w:rsidRDefault="00366231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1.- Transparencia d</w:t>
      </w:r>
      <w:r w:rsidR="00395D5D">
        <w:rPr>
          <w:rFonts w:asciiTheme="minorHAnsi" w:hAnsiTheme="minorHAnsi" w:cstheme="minorHAnsi"/>
          <w:sz w:val="28"/>
          <w:szCs w:val="28"/>
        </w:rPr>
        <w:t>e las condiciones contractuales, debiendo ser la publicidad, clara y precisa respecto a todas las condiciones económicas a cargo del cliente.</w:t>
      </w:r>
    </w:p>
    <w:p w:rsidR="00366231" w:rsidRDefault="00366231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2.- Indicación si la operación corresponde a la cartera de consumo o a la cartera comercial</w:t>
      </w:r>
    </w:p>
    <w:p w:rsidR="00366231" w:rsidRDefault="00366231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>3.-  Tasas de interés bien especificadas, siendo nula toda remisión a usos u otros precios.</w:t>
      </w:r>
    </w:p>
    <w:p w:rsidR="00366231" w:rsidRDefault="00366231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4.- El cliente tiene derecho de recisión en cualquier momento sin gastos.</w:t>
      </w:r>
    </w:p>
    <w:p w:rsidR="00366231" w:rsidRDefault="00366231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5.- </w:t>
      </w:r>
      <w:r w:rsidR="00395D5D">
        <w:rPr>
          <w:rFonts w:asciiTheme="minorHAnsi" w:hAnsiTheme="minorHAnsi" w:cstheme="minorHAnsi"/>
          <w:sz w:val="28"/>
          <w:szCs w:val="28"/>
        </w:rPr>
        <w:t>Los c</w:t>
      </w:r>
      <w:r>
        <w:rPr>
          <w:rFonts w:asciiTheme="minorHAnsi" w:hAnsiTheme="minorHAnsi" w:cstheme="minorHAnsi"/>
          <w:sz w:val="28"/>
          <w:szCs w:val="28"/>
        </w:rPr>
        <w:t>ontratos</w:t>
      </w:r>
      <w:r w:rsidR="00395D5D">
        <w:rPr>
          <w:rFonts w:asciiTheme="minorHAnsi" w:hAnsiTheme="minorHAnsi" w:cstheme="minorHAnsi"/>
          <w:sz w:val="28"/>
          <w:szCs w:val="28"/>
        </w:rPr>
        <w:t xml:space="preserve"> con consumidores y usuarios se rigen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395D5D">
        <w:rPr>
          <w:rFonts w:asciiTheme="minorHAnsi" w:hAnsiTheme="minorHAnsi" w:cstheme="minorHAnsi"/>
          <w:sz w:val="28"/>
          <w:szCs w:val="28"/>
        </w:rPr>
        <w:t>por las normas del contrato de consumo.</w:t>
      </w:r>
    </w:p>
    <w:p w:rsidR="00395D5D" w:rsidRDefault="00395D5D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6.- </w:t>
      </w:r>
      <w:r w:rsidR="00144F14">
        <w:rPr>
          <w:rFonts w:asciiTheme="minorHAnsi" w:hAnsiTheme="minorHAnsi" w:cstheme="minorHAnsi"/>
          <w:sz w:val="28"/>
          <w:szCs w:val="28"/>
        </w:rPr>
        <w:t>D</w:t>
      </w:r>
      <w:r>
        <w:rPr>
          <w:rFonts w:asciiTheme="minorHAnsi" w:hAnsiTheme="minorHAnsi" w:cstheme="minorHAnsi"/>
          <w:sz w:val="28"/>
          <w:szCs w:val="28"/>
        </w:rPr>
        <w:t>eber de la entidad bancaria de información y dar a conocer los informes comerciales negativos al cliente sin gastos.</w:t>
      </w:r>
    </w:p>
    <w:p w:rsidR="00395D5D" w:rsidRDefault="00395D5D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7.- Capitalización de los intereses del saldo deudor.</w:t>
      </w:r>
    </w:p>
    <w:p w:rsidR="00395D5D" w:rsidRDefault="00395D5D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8.-Título ejecutivo firmado por dos apoderados de la entidad bancaria mediante escritura pública.</w:t>
      </w:r>
    </w:p>
    <w:p w:rsidR="0008238D" w:rsidRDefault="0008238D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9.- El contrato debe ser escrito con derecho del cliente a obtener una copia sin gastos.</w:t>
      </w:r>
    </w:p>
    <w:p w:rsidR="0008238D" w:rsidRDefault="0008238D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10.- Posibilidad de convención de capitalización de intereses del saldo acreedor.</w:t>
      </w:r>
    </w:p>
    <w:p w:rsidR="0008238D" w:rsidRDefault="0008238D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11.- Responsabilidad solidaria en caso de dos o más titulares de la cuenta corriente.</w:t>
      </w:r>
    </w:p>
    <w:p w:rsidR="0008238D" w:rsidRDefault="0008238D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12.- Presunción de la propiedad de los fondos en partes iguales en caso de dos o más titulares.</w:t>
      </w:r>
    </w:p>
    <w:p w:rsidR="0008238D" w:rsidRDefault="00BF5625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13.- Aplicación subsidiaria de las normas del mandato a los encargos que el cuentacorrentista da al banco.</w:t>
      </w:r>
    </w:p>
    <w:p w:rsidR="00BF5625" w:rsidRDefault="00BF5625" w:rsidP="00BF5625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14.- Presunción de aceptación por parte del cuentacorrentista de los resúmenes de la cuenta.</w:t>
      </w:r>
    </w:p>
    <w:p w:rsidR="00BF5625" w:rsidRDefault="00BF5625" w:rsidP="00BF5625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15.- </w:t>
      </w:r>
      <w:r w:rsidR="00EF1BF6">
        <w:rPr>
          <w:rFonts w:asciiTheme="minorHAnsi" w:hAnsiTheme="minorHAnsi" w:cstheme="minorHAnsi"/>
          <w:sz w:val="28"/>
          <w:szCs w:val="28"/>
        </w:rPr>
        <w:t>Cierre unilateral de la cuenta. Y compensación de saldos entre las distintas cuentas del mismo titular.</w:t>
      </w:r>
    </w:p>
    <w:p w:rsidR="0089212B" w:rsidRDefault="0089212B" w:rsidP="00BF5625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2D74DA" w:rsidRDefault="0089212B" w:rsidP="00BF5625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Como vimos hasta ahora, la normativa es bastante minuciosa en dejar expresado casi todas las aristas, muchas surgidas de las reglamentaciones</w:t>
      </w:r>
      <w:r w:rsidR="002E5FB1" w:rsidRPr="002E5FB1">
        <w:t xml:space="preserve"> </w:t>
      </w:r>
      <w:r w:rsidR="002E5FB1" w:rsidRPr="002E5FB1">
        <w:rPr>
          <w:rFonts w:asciiTheme="minorHAnsi" w:hAnsiTheme="minorHAnsi" w:cstheme="minorHAnsi"/>
          <w:sz w:val="28"/>
          <w:szCs w:val="28"/>
        </w:rPr>
        <w:t>y de la jurisprudencia que se</w:t>
      </w:r>
      <w:r w:rsidR="002E5FB1">
        <w:rPr>
          <w:rFonts w:asciiTheme="minorHAnsi" w:hAnsiTheme="minorHAnsi" w:cstheme="minorHAnsi"/>
          <w:sz w:val="28"/>
          <w:szCs w:val="28"/>
        </w:rPr>
        <w:t xml:space="preserve"> vino gestando hasta el momento, armonizada con la legislación vigente.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2D74DA">
        <w:rPr>
          <w:rFonts w:asciiTheme="minorHAnsi" w:hAnsiTheme="minorHAnsi" w:cstheme="minorHAnsi"/>
          <w:sz w:val="28"/>
          <w:szCs w:val="28"/>
        </w:rPr>
        <w:t>También es bastante cuidadosa de garantizar los derechos del cuentacorrentista, aplicando lo expresado en los fundamentos del Proyecto.</w:t>
      </w:r>
    </w:p>
    <w:p w:rsidR="008A3728" w:rsidRPr="00626A15" w:rsidRDefault="002D74DA" w:rsidP="00A613BE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Sin embargo, se cuida de entrar en la revisión del </w:t>
      </w:r>
      <w:r w:rsidR="008E0D06">
        <w:rPr>
          <w:rFonts w:asciiTheme="minorHAnsi" w:hAnsiTheme="minorHAnsi" w:cstheme="minorHAnsi"/>
          <w:sz w:val="28"/>
          <w:szCs w:val="28"/>
        </w:rPr>
        <w:t xml:space="preserve">saldo deudor, no sin obstaculizar o excluir su posibilidad. Ello así, pues al establecer la presunción de aceptación del resumen bancario y al ordenar la instrumentación del título ejecutivo en escritura pública, su revisión se vuelve ilusoria, o al menos bastante excepcional mediante el planteo de la redargución de falsedad de la escritura pública, dejando todo ello librado a la interpretación jurisdiccional, según lo establecido por el art. 1 de dicho Proyecto. </w:t>
      </w:r>
      <w:bookmarkStart w:id="0" w:name="_GoBack"/>
      <w:bookmarkEnd w:id="0"/>
    </w:p>
    <w:sectPr w:rsidR="008A3728" w:rsidRPr="00626A15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AE5" w:rsidRDefault="00633AE5" w:rsidP="00626A15">
      <w:r>
        <w:separator/>
      </w:r>
    </w:p>
  </w:endnote>
  <w:endnote w:type="continuationSeparator" w:id="0">
    <w:p w:rsidR="00633AE5" w:rsidRDefault="00633AE5" w:rsidP="00626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2781300"/>
      <w:docPartObj>
        <w:docPartGallery w:val="Page Numbers (Bottom of Page)"/>
        <w:docPartUnique/>
      </w:docPartObj>
    </w:sdtPr>
    <w:sdtEndPr/>
    <w:sdtContent>
      <w:p w:rsidR="00626A15" w:rsidRDefault="00626A15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980">
          <w:rPr>
            <w:noProof/>
          </w:rPr>
          <w:t>5</w:t>
        </w:r>
        <w:r>
          <w:fldChar w:fldCharType="end"/>
        </w:r>
      </w:p>
    </w:sdtContent>
  </w:sdt>
  <w:p w:rsidR="00626A15" w:rsidRDefault="00626A15">
    <w:pPr>
      <w:pStyle w:val="Piedepgina"/>
    </w:pPr>
  </w:p>
  <w:p w:rsidR="00626A15" w:rsidRDefault="00626A1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AE5" w:rsidRDefault="00633AE5" w:rsidP="00626A15">
      <w:r>
        <w:separator/>
      </w:r>
    </w:p>
  </w:footnote>
  <w:footnote w:type="continuationSeparator" w:id="0">
    <w:p w:rsidR="00633AE5" w:rsidRDefault="00633AE5" w:rsidP="00626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1BF9"/>
    <w:multiLevelType w:val="hybridMultilevel"/>
    <w:tmpl w:val="BC26B6D0"/>
    <w:lvl w:ilvl="0" w:tplc="B9C683D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88475E"/>
    <w:multiLevelType w:val="hybridMultilevel"/>
    <w:tmpl w:val="BC26B6D0"/>
    <w:lvl w:ilvl="0" w:tplc="B9C683D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B04"/>
    <w:rsid w:val="0000695C"/>
    <w:rsid w:val="0008238D"/>
    <w:rsid w:val="000D1846"/>
    <w:rsid w:val="00131337"/>
    <w:rsid w:val="00144F14"/>
    <w:rsid w:val="00171C1B"/>
    <w:rsid w:val="001A71C9"/>
    <w:rsid w:val="002D74DA"/>
    <w:rsid w:val="002E5FB1"/>
    <w:rsid w:val="00317514"/>
    <w:rsid w:val="00366231"/>
    <w:rsid w:val="00382588"/>
    <w:rsid w:val="00395D5D"/>
    <w:rsid w:val="004914EB"/>
    <w:rsid w:val="00560A96"/>
    <w:rsid w:val="00562F99"/>
    <w:rsid w:val="005B08D9"/>
    <w:rsid w:val="005D6F8C"/>
    <w:rsid w:val="0060727E"/>
    <w:rsid w:val="00626A15"/>
    <w:rsid w:val="00633AE5"/>
    <w:rsid w:val="00663821"/>
    <w:rsid w:val="00664193"/>
    <w:rsid w:val="00691F6C"/>
    <w:rsid w:val="0069279F"/>
    <w:rsid w:val="007548B1"/>
    <w:rsid w:val="00775DE8"/>
    <w:rsid w:val="007A5933"/>
    <w:rsid w:val="008254D5"/>
    <w:rsid w:val="00844142"/>
    <w:rsid w:val="0089212B"/>
    <w:rsid w:val="008A3728"/>
    <w:rsid w:val="008D6606"/>
    <w:rsid w:val="008E0D06"/>
    <w:rsid w:val="00906B77"/>
    <w:rsid w:val="009E5164"/>
    <w:rsid w:val="00A10F06"/>
    <w:rsid w:val="00A613BE"/>
    <w:rsid w:val="00AD6B04"/>
    <w:rsid w:val="00AE6F68"/>
    <w:rsid w:val="00B320C0"/>
    <w:rsid w:val="00BC6980"/>
    <w:rsid w:val="00BF5625"/>
    <w:rsid w:val="00C342CA"/>
    <w:rsid w:val="00C5428A"/>
    <w:rsid w:val="00C91380"/>
    <w:rsid w:val="00DD6876"/>
    <w:rsid w:val="00E550C0"/>
    <w:rsid w:val="00E56FB0"/>
    <w:rsid w:val="00EC6F71"/>
    <w:rsid w:val="00EF1BF6"/>
    <w:rsid w:val="00F42F28"/>
    <w:rsid w:val="00F767C7"/>
    <w:rsid w:val="00F9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91F6C"/>
    <w:pPr>
      <w:ind w:left="720"/>
      <w:contextualSpacing/>
    </w:pPr>
  </w:style>
  <w:style w:type="paragraph" w:styleId="Encabezado">
    <w:name w:val="header"/>
    <w:basedOn w:val="Normal"/>
    <w:link w:val="EncabezadoCar"/>
    <w:rsid w:val="00626A1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26A15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626A1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26A15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91F6C"/>
    <w:pPr>
      <w:ind w:left="720"/>
      <w:contextualSpacing/>
    </w:pPr>
  </w:style>
  <w:style w:type="paragraph" w:styleId="Encabezado">
    <w:name w:val="header"/>
    <w:basedOn w:val="Normal"/>
    <w:link w:val="EncabezadoCar"/>
    <w:rsid w:val="00626A1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26A15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626A1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26A15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1507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</dc:creator>
  <cp:lastModifiedBy>Patricia</cp:lastModifiedBy>
  <cp:revision>37</cp:revision>
  <dcterms:created xsi:type="dcterms:W3CDTF">2012-10-01T15:06:00Z</dcterms:created>
  <dcterms:modified xsi:type="dcterms:W3CDTF">2012-10-09T15:46:00Z</dcterms:modified>
</cp:coreProperties>
</file>